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E4FA" w14:textId="65AB1D46" w:rsidR="00DC2A4B" w:rsidRPr="00DC2A4B" w:rsidRDefault="00DC2A4B" w:rsidP="00DC2A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shd w:val="clear" w:color="auto" w:fill="E6E6E6"/>
          <w:lang w:eastAsia="fr-BE"/>
          <w14:ligatures w14:val="none"/>
        </w:rPr>
        <w:br/>
      </w:r>
    </w:p>
    <w:p w14:paraId="4F1C2B1A" w14:textId="77777777" w:rsidR="00DC2A4B" w:rsidRPr="00DC2A4B" w:rsidRDefault="00DC2A4B" w:rsidP="00DC2A4B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</w:pPr>
      <w:r w:rsidRPr="00DC2A4B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  <w14:ligatures w14:val="none"/>
        </w:rPr>
        <w:t>Creux de 16 mois pour le nickel</w:t>
      </w:r>
    </w:p>
    <w:p w14:paraId="3E087631" w14:textId="77777777" w:rsidR="00DC2A4B" w:rsidRDefault="00DC2A4B" w:rsidP="00DC2A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kern w:val="0"/>
          <w:sz w:val="30"/>
          <w:szCs w:val="30"/>
          <w:lang w:eastAsia="fr-BE"/>
          <w14:ligatures w14:val="none"/>
        </w:rPr>
      </w:pPr>
    </w:p>
    <w:p w14:paraId="1D4BEC57" w14:textId="428D33C9" w:rsidR="00DC2A4B" w:rsidRPr="00DC2A4B" w:rsidRDefault="00DC2A4B" w:rsidP="00DC2A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A Shanghai, les cours du 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ont atteint un creux de 16 mois sous l’effet d’une baisse de la demande issue du secteur de l’acier inoxydable et d’une croissance des stocks en Chine.</w:t>
      </w:r>
    </w:p>
    <w:p w14:paraId="04B6958F" w14:textId="77777777" w:rsidR="00DC2A4B" w:rsidRPr="00DC2A4B" w:rsidRDefault="00DC2A4B" w:rsidP="00DC2A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Sur le ShFE, le contrat de 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perd 5 % à 122.690 yuan/t (17,014.05 $), soit son niveau le plus bas depuis juillet 2022. Sur le LME, le contrat de 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 continue de chuter et recule de 0,5 % à 16.055 $/t. Vendredi dernier, il avait atteint un plus bas de 2 ans et demi.</w:t>
      </w:r>
    </w:p>
    <w:p w14:paraId="6B943B28" w14:textId="77777777" w:rsidR="00DC2A4B" w:rsidRPr="00DC2A4B" w:rsidRDefault="00DC2A4B" w:rsidP="00DC2A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 secteur de l’acier inoxydable, principal consommateur de 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u w:val="single"/>
          <w:lang w:eastAsia="fr-BE"/>
          <w14:ligatures w14:val="none"/>
        </w:rPr>
        <w:t>nickel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, connait des conditions défavorables qui ont mené à des réductions de production et pesé sur les prix. « </w:t>
      </w:r>
      <w:r w:rsidRPr="00DC2A4B">
        <w:rPr>
          <w:rFonts w:ascii="Lato" w:eastAsia="Times New Roman" w:hAnsi="Lato" w:cs="Times New Roman"/>
          <w:i/>
          <w:iCs/>
          <w:color w:val="000000"/>
          <w:kern w:val="0"/>
          <w:sz w:val="23"/>
          <w:szCs w:val="23"/>
          <w:lang w:eastAsia="fr-BE"/>
          <w14:ligatures w14:val="none"/>
        </w:rPr>
        <w:t>La consommation de nickel pour les véhicules électriques est également plus faible que prévu </w:t>
      </w: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», indiquent les analystes de Yinhe Futures. Autre facteur qui pèse sur le marché, l’augmentation des stocks, en Indonésie et en Chine. Les stocks du ShFE ont augmenté de 16,4 % vendredi dernier, soit quatre fois plus qu’en début d’année. La production chinoise de nickel raffiné a atteint les 197.200 tonnes entre janvier et octobre, soit 38 % de plus qu’à la même période l’année dernière.</w:t>
      </w:r>
    </w:p>
    <w:p w14:paraId="30AE4DD1" w14:textId="77777777" w:rsidR="00DC2A4B" w:rsidRPr="00DC2A4B" w:rsidRDefault="00DC2A4B" w:rsidP="00DC2A4B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</w:pPr>
      <w:r w:rsidRPr="00DC2A4B">
        <w:rPr>
          <w:rFonts w:ascii="Lato" w:eastAsia="Times New Roman" w:hAnsi="Lato" w:cs="Times New Roman"/>
          <w:color w:val="000000"/>
          <w:kern w:val="0"/>
          <w:sz w:val="23"/>
          <w:szCs w:val="23"/>
          <w:lang w:eastAsia="fr-BE"/>
          <w14:ligatures w14:val="none"/>
        </w:rPr>
        <w:t>Les investisseurs sont concentrés sur les données d’inflation à paraître jeudi. Le chiffre attendu devrait être le plus modéré depuis mi-2021.</w:t>
      </w:r>
    </w:p>
    <w:p w14:paraId="171C3341" w14:textId="77777777" w:rsidR="00287462" w:rsidRDefault="00287462"/>
    <w:sectPr w:rsidR="0028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4B"/>
    <w:rsid w:val="00287462"/>
    <w:rsid w:val="00D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993D"/>
  <w15:chartTrackingRefBased/>
  <w15:docId w15:val="{CDBAB101-19FB-4E5A-831C-4EDB5C2C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2023-11-27T07:56:00Z</dcterms:created>
  <dcterms:modified xsi:type="dcterms:W3CDTF">2023-11-27T07:57:00Z</dcterms:modified>
</cp:coreProperties>
</file>